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1260DC" w:rsidRDefault="003A0FB8" w:rsidP="003A0FB8">
      <w:pPr>
        <w:pStyle w:val="Normlnywebov"/>
        <w:numPr>
          <w:ilvl w:val="0"/>
          <w:numId w:val="4"/>
        </w:numPr>
        <w:shd w:val="clear" w:color="auto" w:fill="FFFFFF"/>
        <w:spacing w:before="0" w:beforeAutospacing="0" w:after="0" w:line="276" w:lineRule="auto"/>
        <w:ind w:left="350"/>
        <w:outlineLvl w:val="3"/>
        <w:rPr>
          <w:rFonts w:asciiTheme="minorHAnsi" w:hAnsiTheme="minorHAnsi" w:cstheme="minorHAnsi"/>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6B07D4">
        <w:rPr>
          <w:rFonts w:asciiTheme="minorHAnsi" w:hAnsiTheme="minorHAnsi" w:cstheme="minorHAnsi"/>
          <w:sz w:val="20"/>
          <w:szCs w:val="20"/>
        </w:rPr>
        <w:t>Materská škola Rožňavská 29/854 Rimavská Sobota</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B07D4">
        <w:rPr>
          <w:rFonts w:asciiTheme="minorHAnsi" w:hAnsiTheme="minorHAnsi" w:cstheme="minorHAnsi"/>
          <w:sz w:val="20"/>
          <w:szCs w:val="20"/>
        </w:rPr>
        <w:t>37957996</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B07D4">
        <w:rPr>
          <w:rFonts w:asciiTheme="minorHAnsi" w:hAnsiTheme="minorHAnsi" w:cstheme="minorHAnsi"/>
          <w:sz w:val="20"/>
          <w:szCs w:val="20"/>
        </w:rPr>
        <w:t>MŠ Rožňavská 29/854 Rimavská Sobota</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B07D4">
        <w:rPr>
          <w:rFonts w:asciiTheme="minorHAnsi" w:hAnsiTheme="minorHAnsi" w:cstheme="minorHAnsi"/>
          <w:sz w:val="20"/>
          <w:szCs w:val="20"/>
        </w:rPr>
        <w:t>ww.msroznavska@rsnet.sk</w:t>
      </w:r>
      <w:bookmarkStart w:id="0" w:name="_GoBack"/>
      <w:bookmarkEnd w:id="0"/>
    </w:p>
    <w:p w:rsidR="003A0FB8" w:rsidRPr="001260DC" w:rsidRDefault="003A0FB8" w:rsidP="003A0FB8">
      <w:pPr>
        <w:pStyle w:val="Normlnywebov"/>
        <w:numPr>
          <w:ilvl w:val="0"/>
          <w:numId w:val="4"/>
        </w:numPr>
        <w:shd w:val="clear" w:color="auto" w:fill="FFFFFF"/>
        <w:spacing w:before="0" w:beforeAutospacing="0" w:after="0" w:line="276" w:lineRule="auto"/>
        <w:ind w:left="350"/>
        <w:outlineLvl w:val="3"/>
        <w:rPr>
          <w:rFonts w:asciiTheme="minorHAnsi" w:hAnsiTheme="minorHAnsi" w:cstheme="minorHAnsi"/>
          <w:b/>
          <w:bCs/>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4C078A" w:rsidRPr="001260DC" w:rsidRDefault="002D6B53" w:rsidP="001260D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20F15" w:rsidRPr="001260DC" w:rsidRDefault="004C078A" w:rsidP="001260D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8"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9"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Účel spracúvania osobných údajov</w:t>
      </w:r>
    </w:p>
    <w:p w:rsidR="003A0FB8" w:rsidRPr="00793707" w:rsidRDefault="003A0FB8" w:rsidP="003A0FB8">
      <w:pPr>
        <w:pStyle w:val="Normlnywebov"/>
        <w:spacing w:line="276" w:lineRule="auto"/>
        <w:jc w:val="both"/>
        <w:rPr>
          <w:rFonts w:asciiTheme="minorHAnsi" w:hAnsiTheme="minorHAnsi" w:cstheme="minorHAnsi"/>
          <w:bCs/>
          <w:i/>
          <w:iCs/>
          <w:sz w:val="20"/>
          <w:szCs w:val="20"/>
        </w:rPr>
      </w:pPr>
      <w:r w:rsidRPr="00793707">
        <w:rPr>
          <w:rFonts w:asciiTheme="minorHAnsi" w:hAnsiTheme="minorHAnsi" w:cstheme="minorHAnsi"/>
          <w:bCs/>
          <w:sz w:val="20"/>
          <w:szCs w:val="20"/>
        </w:rPr>
        <w:lastRenderedPageBreak/>
        <w:t xml:space="preserve">Overenie oprávnenia na vstup do </w:t>
      </w:r>
      <w:r w:rsidRPr="00793707">
        <w:rPr>
          <w:rFonts w:asciiTheme="minorHAnsi" w:hAnsiTheme="minorHAnsi" w:cstheme="minorHAnsi"/>
          <w:sz w:val="20"/>
          <w:szCs w:val="20"/>
        </w:rPr>
        <w:t>vnútorných a vonkajších priestorov škôl zaradených do s</w:t>
      </w:r>
      <w:r>
        <w:rPr>
          <w:rFonts w:asciiTheme="minorHAnsi" w:hAnsiTheme="minorHAnsi" w:cstheme="minorHAnsi"/>
          <w:sz w:val="20"/>
          <w:szCs w:val="20"/>
        </w:rPr>
        <w:t>iete škôl a školských zariadení je upravené v uznesení vlády SR č. 760 zo 4. decembra 2020 k návrhu podmienok obnovia prezenčného vyučovania v školách (od 5. ročníka základnej školy a stredných školách) a pre</w:t>
      </w:r>
      <w:r w:rsidR="00A850D4">
        <w:rPr>
          <w:rFonts w:asciiTheme="minorHAnsi" w:hAnsiTheme="minorHAnsi" w:cstheme="minorHAnsi"/>
          <w:sz w:val="20"/>
          <w:szCs w:val="20"/>
        </w:rPr>
        <w:t>vádzky v školských zariadeniach.</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Právny základ</w:t>
      </w:r>
    </w:p>
    <w:p w:rsidR="003A0FB8" w:rsidRPr="00793707" w:rsidRDefault="003A0FB8" w:rsidP="003A0FB8">
      <w:pPr>
        <w:spacing w:line="276" w:lineRule="auto"/>
        <w:rPr>
          <w:rStyle w:val="Siln"/>
          <w:rFonts w:asciiTheme="minorHAnsi" w:hAnsiTheme="minorHAnsi" w:cstheme="minorHAnsi"/>
          <w:b w:val="0"/>
          <w:sz w:val="20"/>
          <w:szCs w:val="20"/>
        </w:rPr>
      </w:pPr>
      <w:r w:rsidRPr="00793707">
        <w:rPr>
          <w:rStyle w:val="Siln"/>
          <w:rFonts w:asciiTheme="minorHAnsi" w:hAnsiTheme="minorHAnsi" w:cstheme="minorHAnsi"/>
          <w:b w:val="0"/>
          <w:sz w:val="20"/>
          <w:szCs w:val="20"/>
        </w:rPr>
        <w:t xml:space="preserve">Bod B.1. uznesenia vlády Slovenskej republiky č. 760 zo 4. decembra 2020 </w:t>
      </w:r>
      <w:r w:rsidRPr="009E17D3">
        <w:rPr>
          <w:rStyle w:val="Siln"/>
          <w:rFonts w:asciiTheme="minorHAnsi" w:hAnsiTheme="minorHAnsi" w:cstheme="minorHAnsi"/>
          <w:b w:val="0"/>
          <w:sz w:val="20"/>
          <w:szCs w:val="20"/>
        </w:rPr>
        <w:t>k návrhu podmienok obnovia prezenčného vyučovania v školách (od 5. ročníka základnej školy a stredných školách) a prevádzky v školských zariadeniach</w:t>
      </w:r>
      <w:r w:rsidRPr="00793707">
        <w:rPr>
          <w:rStyle w:val="Siln"/>
          <w:rFonts w:asciiTheme="minorHAnsi" w:hAnsiTheme="minorHAnsi" w:cstheme="minorHAnsi"/>
          <w:b w:val="0"/>
          <w:sz w:val="20"/>
          <w:szCs w:val="20"/>
        </w:rPr>
        <w:t xml:space="preserve">, súčasne </w:t>
      </w:r>
      <w:r w:rsidRPr="00793707">
        <w:rPr>
          <w:rFonts w:asciiTheme="minorHAnsi" w:hAnsiTheme="minorHAnsi" w:cstheme="minorHAnsi"/>
          <w:bCs/>
          <w:sz w:val="20"/>
          <w:szCs w:val="20"/>
        </w:rPr>
        <w:t>§ 13 ods. 1, písm. d) zákona č. 18/2018 Z. z. o ochrane osobných údajov a o zmene a doplnení niektorých zákonov.</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Kategória príjemcov</w:t>
      </w:r>
    </w:p>
    <w:p w:rsidR="003A0FB8" w:rsidRPr="00793707" w:rsidRDefault="003A0FB8" w:rsidP="003A0FB8">
      <w:pPr>
        <w:spacing w:line="276" w:lineRule="auto"/>
        <w:rPr>
          <w:rFonts w:asciiTheme="minorHAnsi" w:hAnsiTheme="minorHAnsi" w:cstheme="minorHAnsi"/>
          <w:sz w:val="20"/>
          <w:szCs w:val="20"/>
        </w:rPr>
      </w:pPr>
      <w:r w:rsidRPr="00793707">
        <w:rPr>
          <w:rFonts w:asciiTheme="minorHAnsi" w:hAnsiTheme="minorHAnsi" w:cstheme="minorHAnsi"/>
          <w:sz w:val="20"/>
          <w:szCs w:val="20"/>
        </w:rPr>
        <w:t>Pokiaľ to nebude vyžadovať všeobecne záväzný právny predpis, získané osobné údaje nebudú poskytované tretím osobám.</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Doba uchovávania osobných údajov</w:t>
      </w:r>
    </w:p>
    <w:p w:rsidR="003A0FB8" w:rsidRPr="00793707" w:rsidRDefault="003A0FB8" w:rsidP="003A0FB8">
      <w:pPr>
        <w:pStyle w:val="Normlnywebov"/>
        <w:spacing w:before="0" w:beforeAutospacing="0" w:after="0" w:line="276" w:lineRule="auto"/>
        <w:jc w:val="both"/>
        <w:rPr>
          <w:rFonts w:asciiTheme="minorHAnsi" w:hAnsiTheme="minorHAnsi" w:cstheme="minorHAnsi"/>
          <w:bCs/>
          <w:sz w:val="20"/>
          <w:szCs w:val="20"/>
        </w:rPr>
      </w:pPr>
      <w:r w:rsidRPr="00793707">
        <w:rPr>
          <w:rStyle w:val="Siln"/>
          <w:rFonts w:asciiTheme="minorHAnsi" w:hAnsiTheme="minorHAnsi" w:cstheme="minorHAnsi"/>
          <w:b w:val="0"/>
          <w:sz w:val="20"/>
          <w:szCs w:val="20"/>
        </w:rPr>
        <w:t>Osobné údaje sa uchovávajú po dobu</w:t>
      </w:r>
      <w:r>
        <w:rPr>
          <w:rStyle w:val="Siln"/>
          <w:rFonts w:asciiTheme="minorHAnsi" w:hAnsiTheme="minorHAnsi" w:cstheme="minorHAnsi"/>
          <w:b w:val="0"/>
          <w:sz w:val="20"/>
          <w:szCs w:val="20"/>
        </w:rPr>
        <w:t xml:space="preserve"> splnenia účelu alebo do odvolania súhlasu</w:t>
      </w:r>
      <w:r w:rsidRPr="00793707">
        <w:rPr>
          <w:rStyle w:val="Siln"/>
          <w:rFonts w:asciiTheme="minorHAnsi" w:hAnsiTheme="minorHAnsi" w:cstheme="minorHAnsi"/>
          <w:b w:val="0"/>
          <w:sz w:val="20"/>
          <w:szCs w:val="20"/>
        </w:rPr>
        <w:t>.</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Prenos osobných údajov do tretej krajiny alebo medzinárodnej organizácii a automatizované rozhodovanie</w:t>
      </w:r>
    </w:p>
    <w:p w:rsidR="003A0FB8"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 xml:space="preserve">Prenos osobných údajov do tretích krajín alebo medzinárodnej organizácii sa </w:t>
      </w:r>
      <w:r>
        <w:rPr>
          <w:rFonts w:asciiTheme="minorHAnsi" w:hAnsiTheme="minorHAnsi" w:cstheme="minorHAnsi"/>
          <w:sz w:val="20"/>
          <w:szCs w:val="20"/>
          <w:lang w:eastAsia="en-US"/>
        </w:rPr>
        <w:t>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10"/>
      <w:footerReference w:type="default" r:id="rId11"/>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FD" w:rsidRDefault="00F439FD" w:rsidP="00291659">
      <w:r>
        <w:separator/>
      </w:r>
    </w:p>
  </w:endnote>
  <w:endnote w:type="continuationSeparator" w:id="0">
    <w:p w:rsidR="00F439FD" w:rsidRDefault="00F439FD"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6B07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6B07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FD" w:rsidRDefault="00F439FD" w:rsidP="00291659">
      <w:r>
        <w:separator/>
      </w:r>
    </w:p>
  </w:footnote>
  <w:footnote w:type="continuationSeparator" w:id="0">
    <w:p w:rsidR="00F439FD" w:rsidRDefault="00F439FD" w:rsidP="0029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260DC"/>
    <w:rsid w:val="0013364C"/>
    <w:rsid w:val="00164D91"/>
    <w:rsid w:val="001723AF"/>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07D4"/>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72CCA"/>
    <w:rsid w:val="00B820DF"/>
    <w:rsid w:val="00B84E68"/>
    <w:rsid w:val="00BA091B"/>
    <w:rsid w:val="00BB480B"/>
    <w:rsid w:val="00BE0B3A"/>
    <w:rsid w:val="00BF196F"/>
    <w:rsid w:val="00BF55CE"/>
    <w:rsid w:val="00C35B9D"/>
    <w:rsid w:val="00C366BC"/>
    <w:rsid w:val="00C478FC"/>
    <w:rsid w:val="00C95C1E"/>
    <w:rsid w:val="00CB1F11"/>
    <w:rsid w:val="00CD14C1"/>
    <w:rsid w:val="00CD5304"/>
    <w:rsid w:val="00CF10D1"/>
    <w:rsid w:val="00CF19C6"/>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9FD"/>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873</Words>
  <Characters>4982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Hudák Milan</dc:creator>
  <cp:lastModifiedBy>pc</cp:lastModifiedBy>
  <cp:revision>6</cp:revision>
  <cp:lastPrinted>2021-02-04T11:26:00Z</cp:lastPrinted>
  <dcterms:created xsi:type="dcterms:W3CDTF">2021-02-04T11:24:00Z</dcterms:created>
  <dcterms:modified xsi:type="dcterms:W3CDTF">2021-02-04T11:30:00Z</dcterms:modified>
</cp:coreProperties>
</file>